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49E0" w14:textId="77777777" w:rsidR="00D42E9B" w:rsidRPr="00AB5C3B" w:rsidRDefault="003D1925">
      <w:pPr>
        <w:spacing w:line="456" w:lineRule="auto"/>
        <w:jc w:val="center"/>
        <w:rPr>
          <w:rFonts w:ascii="Times New Roman" w:hAnsi="Times New Roman"/>
          <w:color w:val="000000"/>
          <w:spacing w:val="18"/>
          <w:sz w:val="20"/>
          <w:lang w:val="et-EE"/>
        </w:rPr>
      </w:pPr>
      <w:r w:rsidRPr="0046562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7013575</wp:posOffset>
                </wp:positionV>
                <wp:extent cx="4957445" cy="380365"/>
                <wp:effectExtent l="0" t="0" r="0" b="381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FEF3F" w14:textId="77777777" w:rsidR="00D42E9B" w:rsidRDefault="00C05CDA">
                            <w:pPr>
                              <w:spacing w:line="28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  <w:lang w:val="et-E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  <w:lang w:val="et-EE"/>
                              </w:rPr>
                              <w:t xml:space="preserve">If you have any questions, please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  <w:lang w:val="et-EE"/>
                              </w:rPr>
                              <w:t>contact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  <w:lang w:val="et-E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  <w:lang w:val="et-EE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  <w:lang w:val="et-EE"/>
                              </w:rPr>
                              <w:t xml:space="preserve"> </w:t>
                            </w:r>
                            <w:proofErr w:type="spellStart"/>
                            <w:r w:rsidR="00AE7C6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  <w:lang w:val="et-EE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  <w:lang w:val="et-EE"/>
                              </w:rPr>
                              <w:t>anagement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  <w:lang w:val="et-EE"/>
                              </w:rPr>
                              <w:t xml:space="preserve"> </w:t>
                            </w:r>
                            <w:proofErr w:type="spellStart"/>
                            <w:r w:rsidR="00AE7C6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  <w:lang w:val="et-EE"/>
                              </w:rPr>
                              <w:t>board</w:t>
                            </w:r>
                            <w:proofErr w:type="spellEnd"/>
                            <w:r w:rsidR="00AE7C6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  <w:lang w:val="et-E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  <w:lang w:val="et-EE"/>
                              </w:rPr>
                              <w:t>of RBBN –</w:t>
                            </w:r>
                            <w:hyperlink r:id="rId5" w:history="1"/>
                            <w:r w:rsidR="00AE7C61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  <w:u w:val="single"/>
                                <w:lang w:val="et-EE"/>
                              </w:rPr>
                              <w:t xml:space="preserve"> info@rbbn.ee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552.25pt;width:390.35pt;height:29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" filled="f" stroked="f">
                <v:textbox inset="0,0,0,0">
                  <w:txbxContent>
                    <w:p w14:paraId="6A0FEF3F" w14:textId="77777777" w:rsidR="00D42E9B" w:rsidRDefault="00C05CDA">
                      <w:pPr>
                        <w:spacing w:line="280" w:lineRule="auto"/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0"/>
                          <w:szCs w:val="20"/>
                          <w:lang w:val="et-E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  <w:lang w:val="et-EE"/>
                        </w:rPr>
                        <w:t xml:space="preserve">If you have any questions, please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  <w:lang w:val="et-EE"/>
                        </w:rPr>
                        <w:t>contact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  <w:lang w:val="et-EE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  <w:proofErr w:type="spellStart"/>
                      <w:r w:rsidR="00AE7C61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  <w:lang w:val="et-EE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  <w:lang w:val="et-EE"/>
                        </w:rPr>
                        <w:t>anagement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  <w:proofErr w:type="spellStart"/>
                      <w:r w:rsidR="00AE7C61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  <w:lang w:val="et-EE"/>
                        </w:rPr>
                        <w:t>board</w:t>
                      </w:r>
                      <w:proofErr w:type="spellEnd"/>
                      <w:r w:rsidR="00AE7C61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  <w:lang w:val="et-EE"/>
                        </w:rPr>
                        <w:t>of RBBN –</w:t>
                      </w:r>
                      <w:hyperlink r:id="rId6" w:history="1"/>
                      <w:r w:rsidR="00AE7C61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0"/>
                          <w:szCs w:val="20"/>
                          <w:u w:val="single"/>
                          <w:lang w:val="et-EE"/>
                        </w:rPr>
                        <w:t xml:space="preserve"> info@rbbn.ee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CDA" w:rsidRPr="00465625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val="et-EE"/>
        </w:rPr>
        <w:t>RAIL BALTIC</w:t>
      </w:r>
      <w:r w:rsidR="00AE7C61" w:rsidRPr="00465625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val="et-EE"/>
        </w:rPr>
        <w:t>A</w:t>
      </w:r>
      <w:r w:rsidR="00C05CDA" w:rsidRPr="00465625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val="et-EE"/>
        </w:rPr>
        <w:t xml:space="preserve"> BUSINESS NETWORK </w:t>
      </w:r>
      <w:r w:rsidR="00AE7C61" w:rsidRPr="00465625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val="et-EE"/>
        </w:rPr>
        <w:t>ESTONIA</w:t>
      </w:r>
      <w:r w:rsidR="00C05CDA" w:rsidRPr="00AB5C3B">
        <w:rPr>
          <w:rFonts w:ascii="Times New Roman" w:eastAsia="Times New Roman" w:hAnsi="Times New Roman" w:cs="Times New Roman"/>
          <w:color w:val="000000"/>
          <w:spacing w:val="18"/>
          <w:sz w:val="20"/>
          <w:szCs w:val="21"/>
          <w:lang w:val="et-EE"/>
        </w:rPr>
        <w:br/>
      </w:r>
      <w:r w:rsidR="00C05CDA" w:rsidRPr="00AE7C61">
        <w:rPr>
          <w:rFonts w:ascii="Times New Roman" w:eastAsia="Times New Roman" w:hAnsi="Times New Roman" w:cs="Times New Roman"/>
          <w:b/>
          <w:bCs/>
          <w:color w:val="000000"/>
          <w:spacing w:val="18"/>
          <w:sz w:val="18"/>
          <w:szCs w:val="20"/>
          <w:u w:val="single"/>
          <w:lang w:val="et-EE"/>
        </w:rPr>
        <w:t xml:space="preserve">GUIDELINES </w:t>
      </w:r>
      <w:r w:rsidR="00C05CDA" w:rsidRPr="00AB5C3B">
        <w:rPr>
          <w:rFonts w:ascii="Times New Roman" w:eastAsia="Times New Roman" w:hAnsi="Times New Roman" w:cs="Times New Roman"/>
          <w:color w:val="000000"/>
          <w:spacing w:val="18"/>
          <w:sz w:val="18"/>
          <w:szCs w:val="20"/>
          <w:u w:val="single"/>
          <w:lang w:val="et-EE"/>
        </w:rPr>
        <w:br/>
      </w:r>
      <w:r w:rsidR="00C05CDA" w:rsidRPr="00AB5C3B">
        <w:rPr>
          <w:rFonts w:ascii="Times New Roman" w:eastAsia="Times New Roman" w:hAnsi="Times New Roman" w:cs="Times New Roman"/>
          <w:color w:val="000000"/>
          <w:spacing w:val="18"/>
          <w:sz w:val="18"/>
          <w:szCs w:val="20"/>
          <w:lang w:val="et-EE"/>
        </w:rPr>
        <w:t>FOR COMPLIANCE WITH COMPETITION LAW</w:t>
      </w:r>
    </w:p>
    <w:p w14:paraId="0F2CE907" w14:textId="77777777" w:rsidR="00D42E9B" w:rsidRPr="00AB5C3B" w:rsidRDefault="00C05CDA">
      <w:pPr>
        <w:spacing w:before="144" w:line="249" w:lineRule="auto"/>
        <w:rPr>
          <w:rFonts w:ascii="Times New Roman" w:hAnsi="Times New Roman"/>
          <w:b/>
          <w:color w:val="000000"/>
          <w:spacing w:val="2"/>
          <w:sz w:val="18"/>
          <w:u w:val="single"/>
          <w:lang w:val="et-EE"/>
        </w:rPr>
      </w:pPr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>Rail Baltic</w:t>
      </w:r>
      <w:r w:rsidR="00AE7C61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>a</w:t>
      </w:r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 xml:space="preserve"> Business </w:t>
      </w:r>
      <w:proofErr w:type="spellStart"/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>Ne</w:t>
      </w:r>
      <w:r w:rsidR="00AE7C61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>t</w:t>
      </w:r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>vork</w:t>
      </w:r>
      <w:proofErr w:type="spellEnd"/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 xml:space="preserve"> </w:t>
      </w:r>
      <w:r w:rsidR="00AE7C61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 xml:space="preserve">Estonia </w:t>
      </w:r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 xml:space="preserve">(RBBN) </w:t>
      </w:r>
      <w:proofErr w:type="spellStart"/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>acknowledges</w:t>
      </w:r>
      <w:proofErr w:type="spellEnd"/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 xml:space="preserve"> and complies with the key PRINCIPLES </w:t>
      </w:r>
      <w:proofErr w:type="spellStart"/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>arising</w:t>
      </w:r>
      <w:proofErr w:type="spellEnd"/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>from</w:t>
      </w:r>
      <w:proofErr w:type="spellEnd"/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 xml:space="preserve"> </w:t>
      </w:r>
      <w:proofErr w:type="spellStart"/>
      <w:r w:rsidR="00AE7C61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>applicable</w:t>
      </w:r>
      <w:proofErr w:type="spellEnd"/>
      <w:r w:rsidR="00AE7C61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>competition</w:t>
      </w:r>
      <w:proofErr w:type="spellEnd"/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>law</w:t>
      </w:r>
      <w:proofErr w:type="spellEnd"/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 xml:space="preserve">, </w:t>
      </w:r>
      <w:proofErr w:type="spellStart"/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>including</w:t>
      </w:r>
      <w:proofErr w:type="spellEnd"/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>:</w:t>
      </w:r>
    </w:p>
    <w:p w14:paraId="48F45A74" w14:textId="77777777" w:rsidR="00D42E9B" w:rsidRPr="00AB5C3B" w:rsidRDefault="00C05CDA">
      <w:pPr>
        <w:numPr>
          <w:ilvl w:val="0"/>
          <w:numId w:val="1"/>
        </w:numPr>
        <w:tabs>
          <w:tab w:val="clear" w:pos="360"/>
          <w:tab w:val="decimal" w:pos="648"/>
        </w:tabs>
        <w:spacing w:before="72" w:line="211" w:lineRule="auto"/>
        <w:ind w:left="288"/>
        <w:rPr>
          <w:rFonts w:ascii="Times New Roman" w:hAnsi="Times New Roman"/>
          <w:color w:val="000000"/>
          <w:spacing w:val="6"/>
          <w:sz w:val="18"/>
          <w:lang w:val="et-EE"/>
        </w:rPr>
      </w:pPr>
      <w:r w:rsidRPr="00AB5C3B">
        <w:rPr>
          <w:rFonts w:ascii="Times New Roman" w:eastAsia="Times New Roman" w:hAnsi="Times New Roman" w:cs="Times New Roman"/>
          <w:color w:val="000000"/>
          <w:spacing w:val="6"/>
          <w:sz w:val="18"/>
          <w:szCs w:val="20"/>
          <w:lang w:val="et-EE"/>
        </w:rPr>
        <w:t xml:space="preserve">protection of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6"/>
          <w:sz w:val="18"/>
          <w:szCs w:val="20"/>
          <w:lang w:val="et-EE"/>
        </w:rPr>
        <w:t>competition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6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6"/>
          <w:sz w:val="18"/>
          <w:szCs w:val="20"/>
          <w:lang w:val="et-EE"/>
        </w:rPr>
        <w:t>for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6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6"/>
          <w:sz w:val="18"/>
          <w:szCs w:val="20"/>
          <w:lang w:val="et-EE"/>
        </w:rPr>
        <w:t>the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6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6"/>
          <w:sz w:val="18"/>
          <w:szCs w:val="20"/>
          <w:lang w:val="et-EE"/>
        </w:rPr>
        <w:t>benefit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6"/>
          <w:sz w:val="18"/>
          <w:szCs w:val="20"/>
          <w:lang w:val="et-EE"/>
        </w:rPr>
        <w:t xml:space="preserve"> of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6"/>
          <w:sz w:val="18"/>
          <w:szCs w:val="20"/>
          <w:lang w:val="et-EE"/>
        </w:rPr>
        <w:t>free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6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6"/>
          <w:sz w:val="18"/>
          <w:szCs w:val="20"/>
          <w:lang w:val="et-EE"/>
        </w:rPr>
        <w:t>enterprise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6"/>
          <w:sz w:val="18"/>
          <w:szCs w:val="20"/>
          <w:lang w:val="et-EE"/>
        </w:rPr>
        <w:t>;</w:t>
      </w:r>
    </w:p>
    <w:p w14:paraId="613EF4B9" w14:textId="77777777" w:rsidR="00D42E9B" w:rsidRPr="00AB5C3B" w:rsidRDefault="00C05CDA">
      <w:pPr>
        <w:numPr>
          <w:ilvl w:val="0"/>
          <w:numId w:val="1"/>
        </w:numPr>
        <w:tabs>
          <w:tab w:val="clear" w:pos="360"/>
          <w:tab w:val="decimal" w:pos="648"/>
        </w:tabs>
        <w:ind w:left="288"/>
        <w:rPr>
          <w:rFonts w:ascii="Times New Roman" w:hAnsi="Times New Roman"/>
          <w:color w:val="000000"/>
          <w:spacing w:val="1"/>
          <w:sz w:val="18"/>
          <w:lang w:val="et-EE"/>
        </w:rPr>
      </w:pP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preventi</w:t>
      </w:r>
      <w:r w:rsidR="00B0326A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ng</w:t>
      </w:r>
      <w:proofErr w:type="spellEnd"/>
      <w:r w:rsidR="00B0326A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 xml:space="preserve"> and </w:t>
      </w:r>
      <w:proofErr w:type="spellStart"/>
      <w:r w:rsidR="00B0326A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eliminating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restriction</w:t>
      </w:r>
      <w:proofErr w:type="spellEnd"/>
      <w:r w:rsidR="00B0326A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,</w:t>
      </w:r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elimination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 xml:space="preserve"> </w:t>
      </w:r>
      <w:r w:rsidR="00B0326A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and</w:t>
      </w:r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distortion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 xml:space="preserve"> of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competition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.</w:t>
      </w:r>
    </w:p>
    <w:p w14:paraId="473F3C37" w14:textId="77777777" w:rsidR="00D42E9B" w:rsidRPr="00AB5C3B" w:rsidRDefault="00C05CDA" w:rsidP="00AB5C3B">
      <w:pPr>
        <w:spacing w:before="144" w:line="254" w:lineRule="auto"/>
        <w:jc w:val="both"/>
        <w:rPr>
          <w:rFonts w:ascii="Times New Roman" w:hAnsi="Times New Roman"/>
          <w:b/>
          <w:color w:val="000000"/>
          <w:w w:val="105"/>
          <w:sz w:val="20"/>
          <w:lang w:val="et-EE"/>
        </w:rPr>
      </w:pPr>
      <w:r w:rsidRPr="00AB5C3B">
        <w:rPr>
          <w:rFonts w:ascii="Times New Roman" w:eastAsia="Times New Roman" w:hAnsi="Times New Roman" w:cs="Times New Roman"/>
          <w:b/>
          <w:bCs/>
          <w:color w:val="000000"/>
          <w:w w:val="105"/>
          <w:sz w:val="20"/>
          <w:szCs w:val="21"/>
          <w:lang w:val="et-EE"/>
        </w:rPr>
        <w:t xml:space="preserve">RBBN </w:t>
      </w:r>
      <w:r w:rsidRPr="00AB5C3B">
        <w:rPr>
          <w:rFonts w:ascii="Times New Roman" w:eastAsia="Times New Roman" w:hAnsi="Times New Roman" w:cs="Times New Roman"/>
          <w:b/>
          <w:color w:val="000000"/>
          <w:w w:val="105"/>
          <w:sz w:val="18"/>
          <w:szCs w:val="20"/>
          <w:lang w:val="et-EE"/>
        </w:rPr>
        <w:t xml:space="preserve">as a forum (between </w:t>
      </w:r>
      <w:r w:rsidR="00AB5C3B" w:rsidRPr="00AB5C3B">
        <w:rPr>
          <w:rFonts w:ascii="Times New Roman" w:eastAsia="Times New Roman" w:hAnsi="Times New Roman" w:cs="Times New Roman"/>
          <w:b/>
          <w:color w:val="000000"/>
          <w:w w:val="105"/>
          <w:sz w:val="18"/>
          <w:szCs w:val="20"/>
          <w:lang w:val="et-EE"/>
        </w:rPr>
        <w:t>undertakings</w:t>
      </w:r>
      <w:r w:rsidRPr="00AB5C3B">
        <w:rPr>
          <w:rFonts w:ascii="Times New Roman" w:eastAsia="Times New Roman" w:hAnsi="Times New Roman" w:cs="Times New Roman"/>
          <w:b/>
          <w:color w:val="000000"/>
          <w:w w:val="105"/>
          <w:sz w:val="18"/>
          <w:szCs w:val="20"/>
          <w:lang w:val="et-EE"/>
        </w:rPr>
        <w:t>)</w:t>
      </w:r>
      <w:r w:rsidRPr="00AB5C3B">
        <w:rPr>
          <w:rFonts w:ascii="Times New Roman" w:eastAsia="Times New Roman" w:hAnsi="Times New Roman" w:cs="Times New Roman"/>
          <w:color w:val="000000"/>
          <w:w w:val="105"/>
          <w:sz w:val="18"/>
          <w:szCs w:val="20"/>
          <w:lang w:val="et-EE"/>
        </w:rPr>
        <w:t xml:space="preserve"> is connected in two ways with the principles of competition law:</w:t>
      </w:r>
    </w:p>
    <w:p w14:paraId="5FF5F01B" w14:textId="77777777" w:rsidR="00D42E9B" w:rsidRPr="00AB5C3B" w:rsidRDefault="00C05CDA">
      <w:pPr>
        <w:numPr>
          <w:ilvl w:val="0"/>
          <w:numId w:val="2"/>
        </w:numPr>
        <w:tabs>
          <w:tab w:val="clear" w:pos="360"/>
          <w:tab w:val="decimal" w:pos="648"/>
        </w:tabs>
        <w:spacing w:line="230" w:lineRule="auto"/>
        <w:ind w:left="288"/>
        <w:rPr>
          <w:rFonts w:ascii="Verdana" w:hAnsi="Verdana"/>
          <w:b/>
          <w:i/>
          <w:color w:val="000000"/>
          <w:spacing w:val="7"/>
          <w:sz w:val="18"/>
          <w:lang w:val="et-EE"/>
        </w:rPr>
      </w:pPr>
      <w:r w:rsidRPr="00AB5C3B">
        <w:rPr>
          <w:b/>
          <w:i/>
          <w:sz w:val="20"/>
        </w:rPr>
        <w:t xml:space="preserve">RBBN as an </w:t>
      </w:r>
      <w:proofErr w:type="spellStart"/>
      <w:r w:rsidRPr="00AB5C3B">
        <w:rPr>
          <w:b/>
          <w:i/>
          <w:sz w:val="20"/>
        </w:rPr>
        <w:t>organisation</w:t>
      </w:r>
      <w:proofErr w:type="spellEnd"/>
      <w:r w:rsidRPr="00AB5C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18"/>
          <w:szCs w:val="20"/>
          <w:lang w:val="et-EE"/>
        </w:rPr>
        <w:t xml:space="preserve">: </w:t>
      </w:r>
      <w:r w:rsidRPr="00AB5C3B">
        <w:rPr>
          <w:rFonts w:ascii="Times New Roman" w:eastAsia="Times New Roman" w:hAnsi="Times New Roman" w:cs="Times New Roman"/>
          <w:color w:val="000000"/>
          <w:spacing w:val="7"/>
          <w:sz w:val="18"/>
          <w:szCs w:val="20"/>
          <w:lang w:val="et-EE"/>
        </w:rPr>
        <w:t xml:space="preserve">RBBN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7"/>
          <w:sz w:val="18"/>
          <w:szCs w:val="20"/>
          <w:lang w:val="et-EE"/>
        </w:rPr>
        <w:t>decisions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7"/>
          <w:sz w:val="18"/>
          <w:szCs w:val="20"/>
          <w:lang w:val="et-EE"/>
        </w:rPr>
        <w:t xml:space="preserve"> must not restrict competition;</w:t>
      </w:r>
    </w:p>
    <w:p w14:paraId="79092BC0" w14:textId="77777777" w:rsidR="00D42E9B" w:rsidRPr="00AB5C3B" w:rsidRDefault="00C05CDA">
      <w:pPr>
        <w:numPr>
          <w:ilvl w:val="0"/>
          <w:numId w:val="2"/>
        </w:numPr>
        <w:tabs>
          <w:tab w:val="clear" w:pos="360"/>
          <w:tab w:val="decimal" w:pos="648"/>
        </w:tabs>
        <w:spacing w:line="252" w:lineRule="auto"/>
        <w:ind w:left="288"/>
        <w:rPr>
          <w:rFonts w:ascii="Verdana" w:hAnsi="Verdana"/>
          <w:b/>
          <w:i/>
          <w:color w:val="000000"/>
          <w:spacing w:val="4"/>
          <w:sz w:val="18"/>
          <w:lang w:val="et-EE"/>
        </w:rPr>
      </w:pPr>
      <w:r w:rsidRPr="00AB5C3B">
        <w:rPr>
          <w:b/>
          <w:i/>
          <w:sz w:val="20"/>
        </w:rPr>
        <w:t>RBBN as a meeting place / forum</w:t>
      </w:r>
      <w:r w:rsidRPr="00AB5C3B">
        <w:rPr>
          <w:rFonts w:ascii="Verdana" w:eastAsia="Verdana" w:hAnsi="Verdana" w:cs="Times New Roman"/>
          <w:b/>
          <w:bCs/>
          <w:i/>
          <w:iCs/>
          <w:color w:val="000000"/>
          <w:spacing w:val="4"/>
          <w:sz w:val="18"/>
          <w:szCs w:val="19"/>
          <w:lang w:val="et-EE"/>
        </w:rPr>
        <w:t>:</w:t>
      </w:r>
      <w:r w:rsidRPr="00AB5C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18"/>
          <w:szCs w:val="20"/>
          <w:lang w:val="et-EE"/>
        </w:rPr>
        <w:t xml:space="preserve"> </w:t>
      </w:r>
      <w:r w:rsidRPr="00AB5C3B">
        <w:rPr>
          <w:rFonts w:ascii="Times New Roman" w:eastAsia="Times New Roman" w:hAnsi="Times New Roman" w:cs="Times New Roman"/>
          <w:color w:val="000000"/>
          <w:spacing w:val="4"/>
          <w:sz w:val="18"/>
          <w:szCs w:val="20"/>
          <w:lang w:val="et-EE"/>
        </w:rPr>
        <w:t>interactions are subject to restrictions of competition law</w:t>
      </w:r>
      <w:r w:rsidR="00AB5C3B" w:rsidRPr="00AB5C3B">
        <w:rPr>
          <w:rFonts w:ascii="Times New Roman" w:eastAsia="Times New Roman" w:hAnsi="Times New Roman" w:cs="Times New Roman"/>
          <w:color w:val="000000"/>
          <w:spacing w:val="4"/>
          <w:sz w:val="18"/>
          <w:szCs w:val="20"/>
          <w:lang w:val="et-EE"/>
        </w:rPr>
        <w:t>.</w:t>
      </w:r>
    </w:p>
    <w:p w14:paraId="6FE04CD3" w14:textId="77777777" w:rsidR="00D42E9B" w:rsidRPr="00AB5C3B" w:rsidRDefault="00C05CDA">
      <w:pPr>
        <w:spacing w:before="288"/>
        <w:jc w:val="both"/>
        <w:rPr>
          <w:rFonts w:ascii="Times New Roman" w:hAnsi="Times New Roman"/>
          <w:b/>
          <w:color w:val="000000"/>
          <w:spacing w:val="2"/>
          <w:sz w:val="18"/>
          <w:u w:val="single"/>
          <w:lang w:val="et-EE"/>
        </w:rPr>
      </w:pPr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>PROHIBITED ACTIVITIES:</w:t>
      </w:r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lang w:val="et-EE"/>
        </w:rPr>
        <w:t xml:space="preserve"> Competition law prohibits all </w:t>
      </w:r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u w:val="single"/>
          <w:lang w:val="et-EE"/>
        </w:rPr>
        <w:t>agreements between undertakings, concerted practices and decisions of an association of undertaking</w:t>
      </w:r>
      <w:r w:rsidRPr="00AB5C3B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20"/>
          <w:lang w:val="et-EE"/>
        </w:rPr>
        <w:t xml:space="preserve">, which have an anti-competitive objective or effect, including: </w:t>
      </w:r>
    </w:p>
    <w:p w14:paraId="0AF02009" w14:textId="77777777" w:rsidR="00D42E9B" w:rsidRPr="00AB5C3B" w:rsidRDefault="00C05CDA">
      <w:pPr>
        <w:numPr>
          <w:ilvl w:val="0"/>
          <w:numId w:val="1"/>
        </w:numPr>
        <w:tabs>
          <w:tab w:val="clear" w:pos="360"/>
          <w:tab w:val="decimal" w:pos="648"/>
        </w:tabs>
        <w:spacing w:line="235" w:lineRule="auto"/>
        <w:ind w:left="648" w:hanging="360"/>
        <w:rPr>
          <w:rFonts w:ascii="Times New Roman" w:hAnsi="Times New Roman"/>
          <w:color w:val="000000"/>
          <w:spacing w:val="1"/>
          <w:sz w:val="18"/>
          <w:lang w:val="et-EE"/>
        </w:rPr>
      </w:pP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direct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or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indirect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 xml:space="preserve"> </w:t>
      </w:r>
      <w:proofErr w:type="spellStart"/>
      <w:r w:rsidR="00B0326A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>fixing</w:t>
      </w:r>
      <w:proofErr w:type="spellEnd"/>
      <w:r w:rsidR="00B0326A"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 xml:space="preserve"> </w:t>
      </w:r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>of</w:t>
      </w:r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price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 xml:space="preserve"> and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other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>trading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>conditions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for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third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parties</w:t>
      </w:r>
      <w:proofErr w:type="spellEnd"/>
      <w:r w:rsidR="00AE7C61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;</w:t>
      </w:r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 xml:space="preserve"> </w:t>
      </w:r>
    </w:p>
    <w:p w14:paraId="3909A39B" w14:textId="77777777" w:rsidR="00D42E9B" w:rsidRPr="00AB5C3B" w:rsidRDefault="00B0326A">
      <w:pPr>
        <w:numPr>
          <w:ilvl w:val="0"/>
          <w:numId w:val="1"/>
        </w:numPr>
        <w:tabs>
          <w:tab w:val="clear" w:pos="360"/>
          <w:tab w:val="decimal" w:pos="648"/>
        </w:tabs>
        <w:spacing w:before="36"/>
        <w:ind w:left="648" w:hanging="360"/>
        <w:rPr>
          <w:rFonts w:ascii="Times New Roman" w:hAnsi="Times New Roman"/>
          <w:color w:val="000000"/>
          <w:sz w:val="18"/>
          <w:lang w:val="et-E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  <w:lang w:val="et-EE"/>
        </w:rPr>
        <w:t>limiting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z w:val="18"/>
          <w:szCs w:val="20"/>
          <w:lang w:val="et-EE"/>
        </w:rPr>
        <w:t xml:space="preserve"> </w:t>
      </w:r>
      <w:r w:rsidR="00C05CDA" w:rsidRPr="00AB5C3B">
        <w:rPr>
          <w:rFonts w:ascii="Times New Roman" w:eastAsia="Times New Roman" w:hAnsi="Times New Roman" w:cs="Times New Roman"/>
          <w:color w:val="000000"/>
          <w:sz w:val="18"/>
          <w:szCs w:val="20"/>
          <w:lang w:val="et-EE"/>
        </w:rPr>
        <w:t xml:space="preserve">of </w:t>
      </w:r>
      <w:proofErr w:type="spellStart"/>
      <w:r w:rsidR="00C05CDA" w:rsidRPr="00AB5C3B">
        <w:rPr>
          <w:rFonts w:ascii="Times New Roman" w:eastAsia="Times New Roman" w:hAnsi="Times New Roman" w:cs="Times New Roman"/>
          <w:color w:val="000000"/>
          <w:sz w:val="18"/>
          <w:szCs w:val="20"/>
          <w:lang w:val="et-EE"/>
        </w:rPr>
        <w:t>production</w:t>
      </w:r>
      <w:proofErr w:type="spellEnd"/>
      <w:r w:rsidR="00C05CDA" w:rsidRPr="00AB5C3B">
        <w:rPr>
          <w:rFonts w:ascii="Times New Roman" w:eastAsia="Times New Roman" w:hAnsi="Times New Roman" w:cs="Times New Roman"/>
          <w:color w:val="000000"/>
          <w:sz w:val="18"/>
          <w:szCs w:val="20"/>
          <w:lang w:val="et-EE"/>
        </w:rPr>
        <w:t xml:space="preserve">, </w:t>
      </w:r>
      <w:proofErr w:type="spellStart"/>
      <w:r w:rsidR="00C05CDA" w:rsidRPr="00AB5C3B">
        <w:rPr>
          <w:rFonts w:ascii="Times New Roman" w:eastAsia="Times New Roman" w:hAnsi="Times New Roman" w:cs="Times New Roman"/>
          <w:color w:val="000000"/>
          <w:sz w:val="18"/>
          <w:szCs w:val="20"/>
          <w:lang w:val="et-EE"/>
        </w:rPr>
        <w:t>service</w:t>
      </w:r>
      <w:proofErr w:type="spellEnd"/>
      <w:r w:rsidR="00C05CDA" w:rsidRPr="00AB5C3B">
        <w:rPr>
          <w:rFonts w:ascii="Times New Roman" w:eastAsia="Times New Roman" w:hAnsi="Times New Roman" w:cs="Times New Roman"/>
          <w:color w:val="000000"/>
          <w:sz w:val="18"/>
          <w:szCs w:val="20"/>
          <w:lang w:val="et-EE"/>
        </w:rPr>
        <w:t xml:space="preserve">, product market, technical development or investment </w:t>
      </w:r>
      <w:r w:rsidR="00C05CDA" w:rsidRPr="00AB5C3B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  <w:lang w:val="et-EE"/>
        </w:rPr>
        <w:t>;</w:t>
      </w:r>
    </w:p>
    <w:p w14:paraId="41D63CD6" w14:textId="77777777" w:rsidR="00D42E9B" w:rsidRPr="00AB5C3B" w:rsidRDefault="00C05CDA">
      <w:pPr>
        <w:numPr>
          <w:ilvl w:val="0"/>
          <w:numId w:val="1"/>
        </w:numPr>
        <w:tabs>
          <w:tab w:val="clear" w:pos="360"/>
          <w:tab w:val="decimal" w:pos="648"/>
        </w:tabs>
        <w:spacing w:line="235" w:lineRule="auto"/>
        <w:ind w:left="648" w:hanging="360"/>
        <w:rPr>
          <w:rFonts w:ascii="Times New Roman" w:hAnsi="Times New Roman"/>
          <w:color w:val="000000"/>
          <w:spacing w:val="-2"/>
          <w:sz w:val="18"/>
          <w:u w:val="single"/>
          <w:lang w:val="et-EE"/>
        </w:rPr>
      </w:pP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u w:val="single"/>
          <w:lang w:val="et-EE"/>
        </w:rPr>
        <w:t>sharing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u w:val="single"/>
          <w:lang w:val="et-EE"/>
        </w:rPr>
        <w:t xml:space="preserve"> a </w:t>
      </w:r>
      <w:proofErr w:type="spellStart"/>
      <w:r w:rsidR="00B0326A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u w:val="single"/>
          <w:lang w:val="et-EE"/>
        </w:rPr>
        <w:t>goods</w:t>
      </w:r>
      <w:proofErr w:type="spellEnd"/>
      <w:r w:rsidR="00B0326A"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u w:val="single"/>
          <w:lang w:val="et-EE"/>
        </w:rPr>
        <w:t xml:space="preserve"> </w:t>
      </w:r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u w:val="single"/>
          <w:lang w:val="et-EE"/>
        </w:rPr>
        <w:t xml:space="preserve">market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u w:val="single"/>
          <w:lang w:val="et-EE"/>
        </w:rPr>
        <w:t>or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u w:val="single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u w:val="single"/>
          <w:lang w:val="et-EE"/>
        </w:rPr>
        <w:t>source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u w:val="single"/>
          <w:lang w:val="et-EE"/>
        </w:rPr>
        <w:t xml:space="preserve"> of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u w:val="single"/>
          <w:lang w:val="et-EE"/>
        </w:rPr>
        <w:t>supply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 xml:space="preserve">, including restricting access of a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>third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>party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>to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>the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 xml:space="preserve"> </w:t>
      </w:r>
      <w:proofErr w:type="spellStart"/>
      <w:r w:rsidR="00B0326A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>goods</w:t>
      </w:r>
      <w:proofErr w:type="spellEnd"/>
      <w:r w:rsidR="00B0326A"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 xml:space="preserve"> </w:t>
      </w:r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 xml:space="preserve">market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>or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>attempts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>to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>exclude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 xml:space="preserve"> him/her from there;</w:t>
      </w:r>
    </w:p>
    <w:p w14:paraId="52E8BB2D" w14:textId="77777777" w:rsidR="00D42E9B" w:rsidRPr="00AB5C3B" w:rsidRDefault="00C05CDA">
      <w:pPr>
        <w:numPr>
          <w:ilvl w:val="0"/>
          <w:numId w:val="1"/>
        </w:numPr>
        <w:tabs>
          <w:tab w:val="clear" w:pos="360"/>
          <w:tab w:val="decimal" w:pos="648"/>
        </w:tabs>
        <w:ind w:left="648" w:hanging="360"/>
        <w:rPr>
          <w:rFonts w:ascii="Times New Roman" w:hAnsi="Times New Roman"/>
          <w:color w:val="000000"/>
          <w:spacing w:val="1"/>
          <w:sz w:val="18"/>
          <w:u w:val="single"/>
          <w:lang w:val="et-EE"/>
        </w:rPr>
      </w:pP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>exchange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 xml:space="preserve"> of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>information</w:t>
      </w:r>
      <w:proofErr w:type="spellEnd"/>
      <w:r w:rsidR="00B0326A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 xml:space="preserve"> </w:t>
      </w:r>
      <w:proofErr w:type="spellStart"/>
      <w:r w:rsidR="00B0326A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>which</w:t>
      </w:r>
      <w:proofErr w:type="spellEnd"/>
      <w:r w:rsidR="00B0326A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 xml:space="preserve"> </w:t>
      </w:r>
      <w:proofErr w:type="spellStart"/>
      <w:r w:rsidR="00B0326A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>restricts</w:t>
      </w:r>
      <w:proofErr w:type="spellEnd"/>
      <w:r w:rsidR="00B0326A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 xml:space="preserve"> </w:t>
      </w:r>
      <w:proofErr w:type="spellStart"/>
      <w:r w:rsidR="00B0326A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>competition</w:t>
      </w:r>
      <w:proofErr w:type="spellEnd"/>
      <w:r w:rsidR="00B0326A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>;</w:t>
      </w:r>
    </w:p>
    <w:p w14:paraId="45619A98" w14:textId="77777777" w:rsidR="00D42E9B" w:rsidRPr="00AB5C3B" w:rsidRDefault="00C05CDA">
      <w:pPr>
        <w:numPr>
          <w:ilvl w:val="0"/>
          <w:numId w:val="1"/>
        </w:numPr>
        <w:tabs>
          <w:tab w:val="clear" w:pos="360"/>
          <w:tab w:val="decimal" w:pos="648"/>
        </w:tabs>
        <w:spacing w:line="235" w:lineRule="auto"/>
        <w:ind w:left="648" w:hanging="360"/>
        <w:rPr>
          <w:rFonts w:ascii="Times New Roman" w:hAnsi="Times New Roman"/>
          <w:color w:val="000000"/>
          <w:spacing w:val="1"/>
          <w:sz w:val="18"/>
          <w:lang w:val="et-EE"/>
        </w:rPr>
      </w:pPr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agreeing on the implementation of different conditions for equivalent agreements</w:t>
      </w:r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 xml:space="preserve"> which put</w:t>
      </w:r>
      <w:r w:rsidR="00AB5C3B"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 xml:space="preserve"> </w:t>
      </w:r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u w:val="single"/>
          <w:lang w:val="et-EE"/>
        </w:rPr>
        <w:t>business partners at a competitive disadvantage;</w:t>
      </w:r>
    </w:p>
    <w:p w14:paraId="4C748C9D" w14:textId="77777777" w:rsidR="00D42E9B" w:rsidRPr="00AB5C3B" w:rsidRDefault="00C05CDA">
      <w:pPr>
        <w:numPr>
          <w:ilvl w:val="0"/>
          <w:numId w:val="1"/>
        </w:numPr>
        <w:tabs>
          <w:tab w:val="clear" w:pos="360"/>
          <w:tab w:val="decimal" w:pos="648"/>
        </w:tabs>
        <w:spacing w:after="36" w:line="249" w:lineRule="auto"/>
        <w:ind w:left="648" w:hanging="360"/>
        <w:rPr>
          <w:rFonts w:ascii="Times New Roman" w:hAnsi="Times New Roman"/>
          <w:color w:val="000000"/>
          <w:spacing w:val="-3"/>
          <w:sz w:val="18"/>
          <w:lang w:val="et-EE"/>
        </w:rPr>
      </w:pPr>
      <w:r w:rsidRPr="00AB5C3B">
        <w:rPr>
          <w:rFonts w:ascii="Times New Roman" w:eastAsia="Times New Roman" w:hAnsi="Times New Roman" w:cs="Times New Roman"/>
          <w:color w:val="000000"/>
          <w:spacing w:val="-3"/>
          <w:sz w:val="18"/>
          <w:szCs w:val="20"/>
          <w:lang w:val="et-EE"/>
        </w:rPr>
        <w:t>imposing on third parties a requirement for</w:t>
      </w:r>
      <w:r w:rsidRPr="00AB5C3B">
        <w:rPr>
          <w:rFonts w:ascii="Times New Roman" w:eastAsia="Times New Roman" w:hAnsi="Times New Roman" w:cs="Times New Roman"/>
          <w:color w:val="000000"/>
          <w:spacing w:val="-3"/>
          <w:sz w:val="18"/>
          <w:szCs w:val="20"/>
          <w:u w:val="single"/>
          <w:lang w:val="et-EE"/>
        </w:rPr>
        <w:t xml:space="preserve"> taking additional obligations</w:t>
      </w:r>
      <w:r w:rsidRPr="00AB5C3B">
        <w:rPr>
          <w:rFonts w:ascii="Times New Roman" w:eastAsia="Times New Roman" w:hAnsi="Times New Roman" w:cs="Times New Roman"/>
          <w:color w:val="000000"/>
          <w:spacing w:val="-3"/>
          <w:sz w:val="18"/>
          <w:szCs w:val="20"/>
          <w:lang w:val="et-EE"/>
        </w:rPr>
        <w:t xml:space="preserve"> for the conclusion of an </w:t>
      </w:r>
      <w:r w:rsidRPr="00465625">
        <w:rPr>
          <w:rFonts w:ascii="Times New Roman" w:eastAsia="Times New Roman" w:hAnsi="Times New Roman" w:cs="Times New Roman"/>
          <w:color w:val="000000"/>
          <w:spacing w:val="-3"/>
          <w:sz w:val="18"/>
          <w:szCs w:val="20"/>
          <w:lang w:val="et-EE"/>
        </w:rPr>
        <w:t>agreement that are not related to the subject</w:t>
      </w:r>
      <w:r w:rsidRPr="00AB5C3B">
        <w:rPr>
          <w:rFonts w:ascii="Times New Roman" w:eastAsia="Times New Roman" w:hAnsi="Times New Roman" w:cs="Times New Roman"/>
          <w:color w:val="000000"/>
          <w:spacing w:val="-3"/>
          <w:sz w:val="18"/>
          <w:szCs w:val="20"/>
          <w:lang w:val="et-EE"/>
        </w:rPr>
        <w:t>-matter of the agreement.</w:t>
      </w:r>
    </w:p>
    <w:p w14:paraId="2E43433F" w14:textId="77777777" w:rsidR="00D42E9B" w:rsidRPr="00465625" w:rsidRDefault="003D1925">
      <w:pPr>
        <w:spacing w:before="360" w:line="194" w:lineRule="auto"/>
        <w:rPr>
          <w:rFonts w:ascii="Times New Roman" w:hAnsi="Times New Roman"/>
          <w:color w:val="000000"/>
          <w:spacing w:val="-6"/>
          <w:sz w:val="18"/>
          <w:szCs w:val="18"/>
          <w:lang w:val="et-EE"/>
        </w:rPr>
      </w:pPr>
      <w:r w:rsidRPr="0046562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5715</wp:posOffset>
                </wp:positionV>
                <wp:extent cx="1819910" cy="0"/>
                <wp:effectExtent l="7620" t="8890" r="1079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16DC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.45pt" to="173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jZ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" strokecolor="#585858"/>
            </w:pict>
          </mc:Fallback>
        </mc:AlternateContent>
      </w:r>
      <w:proofErr w:type="spellStart"/>
      <w:r w:rsidR="00C05CDA" w:rsidRPr="0046562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et-EE"/>
        </w:rPr>
        <w:t>Consequently</w:t>
      </w:r>
      <w:proofErr w:type="spellEnd"/>
      <w:r w:rsidR="00C05CDA" w:rsidRPr="0046562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et-EE"/>
        </w:rPr>
        <w:t xml:space="preserve">, </w:t>
      </w:r>
      <w:r w:rsidR="00C05CDA" w:rsidRPr="00465625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u w:val="single"/>
          <w:lang w:val="et-EE"/>
        </w:rPr>
        <w:t xml:space="preserve">THE FOLLOWING SHALL NOT BE DISCUSSED IN THE FRAMEWORK OF RBBN: </w:t>
      </w:r>
    </w:p>
    <w:p w14:paraId="6577840D" w14:textId="77777777" w:rsidR="00D42E9B" w:rsidRPr="00AB5C3B" w:rsidRDefault="00C05CDA">
      <w:pPr>
        <w:numPr>
          <w:ilvl w:val="0"/>
          <w:numId w:val="1"/>
        </w:numPr>
        <w:tabs>
          <w:tab w:val="clear" w:pos="360"/>
          <w:tab w:val="decimal" w:pos="648"/>
        </w:tabs>
        <w:spacing w:before="72"/>
        <w:ind w:left="288"/>
        <w:rPr>
          <w:rFonts w:ascii="Times New Roman" w:hAnsi="Times New Roman"/>
          <w:color w:val="000000"/>
          <w:spacing w:val="1"/>
          <w:sz w:val="18"/>
          <w:lang w:val="et-EE"/>
        </w:rPr>
      </w:pPr>
      <w:r w:rsidRPr="00AB5C3B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val="et-EE"/>
        </w:rPr>
        <w:t>participation in future (public) procurements without a clear need for a joint tender;</w:t>
      </w:r>
    </w:p>
    <w:p w14:paraId="3511E175" w14:textId="77777777" w:rsidR="00D42E9B" w:rsidRPr="00AB5C3B" w:rsidRDefault="00C05CDA">
      <w:pPr>
        <w:numPr>
          <w:ilvl w:val="0"/>
          <w:numId w:val="1"/>
        </w:numPr>
        <w:tabs>
          <w:tab w:val="clear" w:pos="360"/>
          <w:tab w:val="decimal" w:pos="648"/>
        </w:tabs>
        <w:ind w:left="648" w:hanging="360"/>
        <w:rPr>
          <w:rFonts w:ascii="Times New Roman" w:hAnsi="Times New Roman"/>
          <w:color w:val="000000"/>
          <w:spacing w:val="2"/>
          <w:sz w:val="18"/>
          <w:lang w:val="et-EE"/>
        </w:rPr>
      </w:pPr>
      <w:r w:rsidRPr="00AB5C3B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>"allocation" of procurement and other contracts / markets / customer relationships, including the submission of "additional" bids;</w:t>
      </w:r>
    </w:p>
    <w:p w14:paraId="0A030D37" w14:textId="77777777" w:rsidR="00D42E9B" w:rsidRPr="00AB5C3B" w:rsidRDefault="00C05CDA">
      <w:pPr>
        <w:numPr>
          <w:ilvl w:val="0"/>
          <w:numId w:val="1"/>
        </w:numPr>
        <w:tabs>
          <w:tab w:val="clear" w:pos="360"/>
          <w:tab w:val="decimal" w:pos="648"/>
        </w:tabs>
        <w:spacing w:line="264" w:lineRule="auto"/>
        <w:ind w:left="648" w:hanging="360"/>
        <w:rPr>
          <w:rFonts w:ascii="Times New Roman" w:hAnsi="Times New Roman"/>
          <w:color w:val="000000"/>
          <w:spacing w:val="-5"/>
          <w:sz w:val="18"/>
          <w:lang w:val="et-EE"/>
        </w:rPr>
      </w:pPr>
      <w:r w:rsidRPr="00AB5C3B">
        <w:rPr>
          <w:rFonts w:ascii="Times New Roman" w:eastAsia="Times New Roman" w:hAnsi="Times New Roman" w:cs="Times New Roman"/>
          <w:color w:val="000000"/>
          <w:spacing w:val="-5"/>
          <w:sz w:val="18"/>
          <w:szCs w:val="20"/>
          <w:lang w:val="et-EE"/>
        </w:rPr>
        <w:t>pricing (future bids), including coordination of pricing policies (including those that initially seem fair and just);</w:t>
      </w:r>
    </w:p>
    <w:p w14:paraId="321EA3F0" w14:textId="77777777" w:rsidR="00D42E9B" w:rsidRPr="00AB5C3B" w:rsidRDefault="00C05CDA">
      <w:pPr>
        <w:numPr>
          <w:ilvl w:val="0"/>
          <w:numId w:val="1"/>
        </w:numPr>
        <w:tabs>
          <w:tab w:val="clear" w:pos="360"/>
          <w:tab w:val="decimal" w:pos="648"/>
        </w:tabs>
        <w:spacing w:line="264" w:lineRule="auto"/>
        <w:ind w:left="648" w:hanging="360"/>
        <w:rPr>
          <w:rFonts w:ascii="Times New Roman" w:hAnsi="Times New Roman"/>
          <w:color w:val="000000"/>
          <w:spacing w:val="-2"/>
          <w:sz w:val="18"/>
          <w:lang w:val="et-EE"/>
        </w:rPr>
      </w:pPr>
      <w:r w:rsidRPr="00AB5C3B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val="et-EE"/>
        </w:rPr>
        <w:t>exchange of non-public information that is sensitive to competition (in particular forward-looking information that allows for predicting the market behaviour of a particular undertaking);</w:t>
      </w:r>
    </w:p>
    <w:p w14:paraId="5C84076D" w14:textId="77777777" w:rsidR="00D42E9B" w:rsidRPr="00AB5C3B" w:rsidRDefault="00C05CDA">
      <w:pPr>
        <w:numPr>
          <w:ilvl w:val="0"/>
          <w:numId w:val="1"/>
        </w:numPr>
        <w:tabs>
          <w:tab w:val="clear" w:pos="360"/>
          <w:tab w:val="decimal" w:pos="648"/>
        </w:tabs>
        <w:spacing w:line="264" w:lineRule="auto"/>
        <w:ind w:left="648" w:hanging="360"/>
        <w:rPr>
          <w:rFonts w:ascii="Times New Roman" w:hAnsi="Times New Roman"/>
          <w:color w:val="000000"/>
          <w:spacing w:val="-1"/>
          <w:sz w:val="18"/>
          <w:lang w:val="et-EE"/>
        </w:rPr>
      </w:pPr>
      <w:r w:rsidRPr="00AB5C3B">
        <w:rPr>
          <w:rFonts w:ascii="Times New Roman" w:eastAsia="Times New Roman" w:hAnsi="Times New Roman" w:cs="Times New Roman"/>
          <w:color w:val="000000"/>
          <w:spacing w:val="-1"/>
          <w:sz w:val="18"/>
          <w:szCs w:val="20"/>
          <w:lang w:val="et-EE"/>
        </w:rPr>
        <w:t>a collective boycott of third parties or other (unfavorable) restrictions on them.</w:t>
      </w:r>
    </w:p>
    <w:p w14:paraId="501DC740" w14:textId="77777777" w:rsidR="00D42E9B" w:rsidRPr="00AB5C3B" w:rsidRDefault="00C05CDA">
      <w:pPr>
        <w:spacing w:before="144" w:line="201" w:lineRule="auto"/>
        <w:rPr>
          <w:rFonts w:ascii="Times New Roman" w:hAnsi="Times New Roman"/>
          <w:b/>
          <w:color w:val="000000"/>
          <w:spacing w:val="4"/>
          <w:sz w:val="18"/>
          <w:u w:val="single"/>
          <w:lang w:val="et-EE"/>
        </w:rPr>
      </w:pPr>
      <w:r w:rsidRPr="00AB5C3B">
        <w:rPr>
          <w:rFonts w:ascii="Times New Roman" w:eastAsia="Times New Roman" w:hAnsi="Times New Roman" w:cs="Times New Roman"/>
          <w:b/>
          <w:color w:val="000000"/>
          <w:spacing w:val="4"/>
          <w:sz w:val="18"/>
          <w:szCs w:val="20"/>
          <w:u w:val="single"/>
          <w:lang w:val="et-EE"/>
        </w:rPr>
        <w:t xml:space="preserve">At RBBN meetings: </w:t>
      </w:r>
    </w:p>
    <w:p w14:paraId="2171B63F" w14:textId="77777777" w:rsidR="00D42E9B" w:rsidRPr="00AB5C3B" w:rsidRDefault="00C05CDA">
      <w:pPr>
        <w:numPr>
          <w:ilvl w:val="0"/>
          <w:numId w:val="1"/>
        </w:numPr>
        <w:tabs>
          <w:tab w:val="clear" w:pos="360"/>
          <w:tab w:val="decimal" w:pos="648"/>
        </w:tabs>
        <w:spacing w:before="72"/>
        <w:ind w:left="288"/>
        <w:rPr>
          <w:rFonts w:ascii="Times New Roman" w:hAnsi="Times New Roman"/>
          <w:color w:val="000000"/>
          <w:spacing w:val="2"/>
          <w:sz w:val="18"/>
          <w:lang w:val="et-EE"/>
        </w:rPr>
      </w:pP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>we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 xml:space="preserve"> </w:t>
      </w:r>
      <w:r w:rsidR="00AE7C61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 xml:space="preserve">keep </w:t>
      </w:r>
      <w:r w:rsidR="00B0326A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 xml:space="preserve">minutes of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>substantive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>discussions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 xml:space="preserve"> and keep </w:t>
      </w:r>
      <w:proofErr w:type="spellStart"/>
      <w:r w:rsidR="00B0326A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>those</w:t>
      </w:r>
      <w:proofErr w:type="spellEnd"/>
      <w:r w:rsidR="00B0326A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 xml:space="preserve"> </w:t>
      </w:r>
      <w:proofErr w:type="spellStart"/>
      <w:r w:rsidR="00B0326A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>discussions</w:t>
      </w:r>
      <w:proofErr w:type="spellEnd"/>
      <w:r w:rsidR="00B0326A" w:rsidRPr="00AB5C3B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>within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>the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 xml:space="preserve">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>framework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 xml:space="preserve"> of </w:t>
      </w:r>
      <w:proofErr w:type="spellStart"/>
      <w:r w:rsidRPr="00AB5C3B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>the</w:t>
      </w:r>
      <w:proofErr w:type="spellEnd"/>
      <w:r w:rsidRPr="00AB5C3B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et-EE"/>
        </w:rPr>
        <w:t xml:space="preserve"> RBBN objectives;</w:t>
      </w:r>
    </w:p>
    <w:p w14:paraId="22695A1E" w14:textId="77777777" w:rsidR="00D42E9B" w:rsidRPr="00AB5C3B" w:rsidRDefault="00C05CDA">
      <w:pPr>
        <w:numPr>
          <w:ilvl w:val="0"/>
          <w:numId w:val="1"/>
        </w:numPr>
        <w:tabs>
          <w:tab w:val="clear" w:pos="360"/>
          <w:tab w:val="decimal" w:pos="648"/>
        </w:tabs>
        <w:ind w:left="288"/>
        <w:rPr>
          <w:rFonts w:ascii="Times New Roman" w:hAnsi="Times New Roman"/>
          <w:color w:val="000000"/>
          <w:spacing w:val="4"/>
          <w:sz w:val="18"/>
          <w:lang w:val="et-EE"/>
        </w:rPr>
      </w:pPr>
      <w:r w:rsidRPr="00AB5C3B">
        <w:rPr>
          <w:rFonts w:ascii="Times New Roman" w:eastAsia="Times New Roman" w:hAnsi="Times New Roman" w:cs="Times New Roman"/>
          <w:color w:val="000000"/>
          <w:spacing w:val="4"/>
          <w:sz w:val="18"/>
          <w:szCs w:val="20"/>
          <w:lang w:val="et-EE"/>
        </w:rPr>
        <w:t>we ensure that the exchange of information and documents between members takes into account the above</w:t>
      </w:r>
      <w:r w:rsidR="00AB5C3B">
        <w:rPr>
          <w:rFonts w:ascii="Times New Roman" w:eastAsia="Times New Roman" w:hAnsi="Times New Roman" w:cs="Times New Roman"/>
          <w:color w:val="000000"/>
          <w:spacing w:val="4"/>
          <w:sz w:val="18"/>
          <w:szCs w:val="20"/>
          <w:lang w:val="et-EE"/>
        </w:rPr>
        <w:t>.</w:t>
      </w:r>
    </w:p>
    <w:sectPr w:rsidR="00D42E9B" w:rsidRPr="00AB5C3B" w:rsidSect="00D42E9B">
      <w:pgSz w:w="10021" w:h="14173"/>
      <w:pgMar w:top="1340" w:right="1054" w:bottom="1458" w:left="110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80CBC"/>
    <w:multiLevelType w:val="multilevel"/>
    <w:tmpl w:val="3B5474D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0"/>
        <w:vertAlign w:val="baseline"/>
        <w:lang w:val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0B5320"/>
    <w:multiLevelType w:val="multilevel"/>
    <w:tmpl w:val="72E2D33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i/>
        <w:strike w:val="0"/>
        <w:color w:val="000000"/>
        <w:spacing w:val="7"/>
        <w:w w:val="100"/>
        <w:sz w:val="19"/>
        <w:vertAlign w:val="baseline"/>
        <w:lang w:val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9B"/>
    <w:rsid w:val="001F4419"/>
    <w:rsid w:val="003D1925"/>
    <w:rsid w:val="00465625"/>
    <w:rsid w:val="006B40B3"/>
    <w:rsid w:val="00725545"/>
    <w:rsid w:val="00AB5C3B"/>
    <w:rsid w:val="00AE7C61"/>
    <w:rsid w:val="00B0326A"/>
    <w:rsid w:val="00B42801"/>
    <w:rsid w:val="00C05CDA"/>
    <w:rsid w:val="00D02079"/>
    <w:rsid w:val="00D42E9B"/>
    <w:rsid w:val="00DA7852"/>
    <w:rsid w:val="00F1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6FD2"/>
  <w15:docId w15:val="{FDA55426-D2C5-4EB3-B49E-8A66314F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C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Sandor Elias | TRINITI</dc:creator>
  <cp:lastModifiedBy>Tõnis Tamme | TRINITI</cp:lastModifiedBy>
  <cp:revision>3</cp:revision>
  <cp:lastPrinted>2019-06-14T09:56:00Z</cp:lastPrinted>
  <dcterms:created xsi:type="dcterms:W3CDTF">2019-06-17T12:21:00Z</dcterms:created>
  <dcterms:modified xsi:type="dcterms:W3CDTF">2019-06-17T12:32:00Z</dcterms:modified>
</cp:coreProperties>
</file>